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33" w:rsidRDefault="00A84CB3">
      <w:r>
        <w:t>Supplement to:</w:t>
      </w:r>
    </w:p>
    <w:p w:rsidR="00A84CB3" w:rsidRDefault="00A84CB3"/>
    <w:p w:rsidR="00A84CB3" w:rsidRDefault="00A84CB3" w:rsidP="00A84CB3">
      <w:r>
        <w:t>Pitcher Plants (</w:t>
      </w:r>
      <w:proofErr w:type="spellStart"/>
      <w:r>
        <w:t>Sarracenia</w:t>
      </w:r>
      <w:proofErr w:type="spellEnd"/>
      <w:r>
        <w:t xml:space="preserve">) Provide a 21st-Century Perspective on </w:t>
      </w:r>
      <w:proofErr w:type="spellStart"/>
      <w:r>
        <w:t>Infraspecific</w:t>
      </w:r>
      <w:proofErr w:type="spellEnd"/>
      <w:r>
        <w:t xml:space="preserve"> Ranks and Interspecific Hybrids: A Modest </w:t>
      </w:r>
      <w:proofErr w:type="gramStart"/>
      <w:r>
        <w:t>Proposal  for</w:t>
      </w:r>
      <w:proofErr w:type="gramEnd"/>
      <w:r>
        <w:t xml:space="preserve"> Appropriate Recognition and Usage</w:t>
      </w:r>
    </w:p>
    <w:p w:rsidR="00A84CB3" w:rsidRDefault="00A84CB3" w:rsidP="00A84CB3"/>
    <w:p w:rsidR="00A84CB3" w:rsidRDefault="00A84CB3" w:rsidP="00A84CB3">
      <w:r>
        <w:t>Aaron M. Ellison</w:t>
      </w:r>
      <w:r>
        <w:t>,</w:t>
      </w:r>
      <w:r>
        <w:t xml:space="preserve"> Charles C. Davis</w:t>
      </w:r>
      <w:r>
        <w:t xml:space="preserve">, </w:t>
      </w:r>
      <w:r>
        <w:t xml:space="preserve">Patrick J. </w:t>
      </w:r>
      <w:proofErr w:type="spellStart"/>
      <w:r>
        <w:t>Calie</w:t>
      </w:r>
      <w:proofErr w:type="spellEnd"/>
      <w:r>
        <w:t>,</w:t>
      </w:r>
      <w:r>
        <w:t xml:space="preserve"> and Robert F.C. </w:t>
      </w:r>
      <w:proofErr w:type="spellStart"/>
      <w:r>
        <w:t>Naczi</w:t>
      </w:r>
      <w:proofErr w:type="spellEnd"/>
    </w:p>
    <w:p w:rsidR="00A84CB3" w:rsidRDefault="00A84CB3" w:rsidP="00A84CB3"/>
    <w:p w:rsidR="00A84CB3" w:rsidRDefault="00A84CB3" w:rsidP="00A84CB3"/>
    <w:p w:rsidR="007A26A1" w:rsidRDefault="007A26A1" w:rsidP="007A26A1">
      <w:proofErr w:type="gramStart"/>
      <w:r>
        <w:t>Supplementary Table.</w:t>
      </w:r>
      <w:proofErr w:type="gramEnd"/>
      <w:r>
        <w:t xml:space="preserve"> </w:t>
      </w:r>
      <w:r w:rsidR="00A84CB3">
        <w:t>Data used to generate Table 2: the n</w:t>
      </w:r>
      <w:r w:rsidR="00A84CB3" w:rsidRPr="001103FF">
        <w:t xml:space="preserve">umbers of subspecies, varieties, forms, and hybrids recognized by Fernald (1970), </w:t>
      </w:r>
      <w:r>
        <w:t xml:space="preserve">Gleason and </w:t>
      </w:r>
      <w:proofErr w:type="spellStart"/>
      <w:r>
        <w:t>Cronquist</w:t>
      </w:r>
      <w:proofErr w:type="spellEnd"/>
      <w:r w:rsidR="00A84CB3" w:rsidRPr="001103FF">
        <w:t xml:space="preserve"> (1991)</w:t>
      </w:r>
      <w:r>
        <w:t xml:space="preserve"> (G&amp;C in table)</w:t>
      </w:r>
      <w:r w:rsidR="00A84CB3" w:rsidRPr="001103FF">
        <w:t>, and Haines (2011) in 31 genera of vascular land plants</w:t>
      </w:r>
      <w:r w:rsidR="00A84CB3">
        <w:t>.</w:t>
      </w:r>
      <w:r>
        <w:t xml:space="preserve"> Columns are: Taxa (total number of species in the genus); Subspecies (number of recognized subspecies); Varieties (number of recognized </w:t>
      </w:r>
      <w:proofErr w:type="spellStart"/>
      <w:r>
        <w:t>varieites</w:t>
      </w:r>
      <w:proofErr w:type="spellEnd"/>
      <w:r>
        <w:t>); Forms (</w:t>
      </w:r>
      <w:r>
        <w:t>number of recognized</w:t>
      </w:r>
      <w:r>
        <w:t xml:space="preserve"> forms); Hybrids (number of recognized hybrids). </w:t>
      </w:r>
      <w:r>
        <w:t xml:space="preserve">NA means </w:t>
      </w:r>
      <w:r>
        <w:t xml:space="preserve">that </w:t>
      </w:r>
      <w:proofErr w:type="spellStart"/>
      <w:r>
        <w:t>infraspecific</w:t>
      </w:r>
      <w:proofErr w:type="spellEnd"/>
      <w:r>
        <w:t xml:space="preserve"> category is </w:t>
      </w:r>
      <w:r>
        <w:t xml:space="preserve">not used in the </w:t>
      </w:r>
      <w:r>
        <w:t xml:space="preserve">given </w:t>
      </w:r>
      <w:r>
        <w:t>flora</w:t>
      </w:r>
      <w:r>
        <w:t xml:space="preserve">. Note also the following synonymies in Haines (2011) compared with Fernald (1970) or Gleason and </w:t>
      </w:r>
      <w:proofErr w:type="spellStart"/>
      <w:r>
        <w:t>Cronquist</w:t>
      </w:r>
      <w:proofErr w:type="spellEnd"/>
      <w:r>
        <w:t xml:space="preserve"> (1991): </w:t>
      </w:r>
      <w:proofErr w:type="spellStart"/>
      <w:proofErr w:type="gramStart"/>
      <w:r w:rsidRPr="007A26A1">
        <w:rPr>
          <w:i/>
        </w:rPr>
        <w:t>Habenaria</w:t>
      </w:r>
      <w:proofErr w:type="spellEnd"/>
      <w:r>
        <w:t xml:space="preserve">  is</w:t>
      </w:r>
      <w:proofErr w:type="gramEnd"/>
      <w:r>
        <w:t xml:space="preserve"> </w:t>
      </w:r>
      <w:r>
        <w:t xml:space="preserve">synonymized with </w:t>
      </w:r>
      <w:proofErr w:type="spellStart"/>
      <w:r w:rsidRPr="007A26A1">
        <w:rPr>
          <w:i/>
        </w:rPr>
        <w:t>Plantathera</w:t>
      </w:r>
      <w:proofErr w:type="spellEnd"/>
      <w:r>
        <w:t xml:space="preserve">; </w:t>
      </w:r>
      <w:proofErr w:type="spellStart"/>
      <w:r w:rsidRPr="007A26A1">
        <w:rPr>
          <w:i/>
        </w:rPr>
        <w:t>Prenanthes</w:t>
      </w:r>
      <w:proofErr w:type="spellEnd"/>
      <w:r>
        <w:t xml:space="preserve"> (</w:t>
      </w:r>
      <w:proofErr w:type="spellStart"/>
      <w:r>
        <w:t>Asteraceae</w:t>
      </w:r>
      <w:proofErr w:type="spellEnd"/>
      <w:r>
        <w:t xml:space="preserve">) is </w:t>
      </w:r>
      <w:r>
        <w:t xml:space="preserve">synonymized with </w:t>
      </w:r>
      <w:proofErr w:type="spellStart"/>
      <w:r>
        <w:rPr>
          <w:i/>
        </w:rPr>
        <w:t>Nabalus</w:t>
      </w:r>
      <w:proofErr w:type="spellEnd"/>
      <w:r>
        <w:t xml:space="preserve">; </w:t>
      </w:r>
      <w:proofErr w:type="spellStart"/>
      <w:r w:rsidRPr="007A26A1">
        <w:rPr>
          <w:i/>
        </w:rPr>
        <w:t>Cornus</w:t>
      </w:r>
      <w:proofErr w:type="spellEnd"/>
      <w:r>
        <w:t xml:space="preserve"> is </w:t>
      </w:r>
      <w:r>
        <w:t xml:space="preserve">synonymized with </w:t>
      </w:r>
      <w:proofErr w:type="spellStart"/>
      <w:r w:rsidRPr="007A26A1">
        <w:rPr>
          <w:i/>
        </w:rPr>
        <w:t>Swida</w:t>
      </w:r>
      <w:proofErr w:type="spellEnd"/>
      <w:r>
        <w:t xml:space="preserve">; and </w:t>
      </w:r>
      <w:r w:rsidRPr="007A26A1">
        <w:rPr>
          <w:i/>
        </w:rPr>
        <w:t>Aster</w:t>
      </w:r>
      <w:r>
        <w:t xml:space="preserve"> (</w:t>
      </w:r>
      <w:proofErr w:type="spellStart"/>
      <w:r>
        <w:t>Asteraceae</w:t>
      </w:r>
      <w:proofErr w:type="spellEnd"/>
      <w:r>
        <w:t>) is</w:t>
      </w:r>
      <w:r>
        <w:t xml:space="preserve"> </w:t>
      </w:r>
      <w:r>
        <w:t>synonymized</w:t>
      </w:r>
      <w:r>
        <w:t xml:space="preserve"> with</w:t>
      </w:r>
      <w:r>
        <w:t xml:space="preserve"> </w:t>
      </w:r>
      <w:proofErr w:type="spellStart"/>
      <w:r w:rsidRPr="007A26A1">
        <w:rPr>
          <w:i/>
        </w:rPr>
        <w:t>Symphyotrichum</w:t>
      </w:r>
      <w:proofErr w:type="spellEnd"/>
      <w:r>
        <w:t>.</w:t>
      </w:r>
      <w:r>
        <w:t xml:space="preserve"> in Haines 2011 </w:t>
      </w:r>
      <w:r>
        <w:tab/>
      </w:r>
    </w:p>
    <w:p w:rsidR="00A84CB3" w:rsidRDefault="007A26A1" w:rsidP="007A26A1">
      <w:r>
        <w:tab/>
      </w:r>
    </w:p>
    <w:p w:rsidR="00A84CB3" w:rsidRDefault="00A84CB3" w:rsidP="00A84CB3"/>
    <w:tbl>
      <w:tblPr>
        <w:tblW w:w="867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27"/>
        <w:gridCol w:w="1276"/>
        <w:gridCol w:w="992"/>
        <w:gridCol w:w="709"/>
        <w:gridCol w:w="1222"/>
        <w:gridCol w:w="1028"/>
        <w:gridCol w:w="673"/>
        <w:gridCol w:w="850"/>
      </w:tblGrid>
      <w:tr w:rsidR="007A26A1" w:rsidRPr="007A26A1" w:rsidTr="007A26A1">
        <w:tblPrEx>
          <w:tblCellMar>
            <w:top w:w="0" w:type="dxa"/>
            <w:bottom w:w="0" w:type="dxa"/>
          </w:tblCellMar>
        </w:tblPrEx>
        <w:trPr>
          <w:trHeight w:val="257"/>
          <w:tblHeader/>
          <w:jc w:val="center"/>
        </w:trPr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Family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Genus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A84CB3" w:rsidP="007A2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Flora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84CB3" w:rsidRPr="007A26A1">
              <w:rPr>
                <w:rFonts w:ascii="Arial" w:hAnsi="Arial" w:cs="Arial"/>
                <w:b/>
                <w:sz w:val="20"/>
                <w:szCs w:val="20"/>
              </w:rPr>
              <w:t>axa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84CB3" w:rsidRPr="007A26A1">
              <w:rPr>
                <w:rFonts w:ascii="Arial" w:hAnsi="Arial" w:cs="Arial"/>
                <w:b/>
                <w:sz w:val="20"/>
                <w:szCs w:val="20"/>
              </w:rPr>
              <w:t>ubspecies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84CB3" w:rsidRPr="007A26A1">
              <w:rPr>
                <w:rFonts w:ascii="Arial" w:hAnsi="Arial" w:cs="Arial"/>
                <w:b/>
                <w:sz w:val="20"/>
                <w:szCs w:val="20"/>
              </w:rPr>
              <w:t>arieties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A84CB3" w:rsidRPr="007A26A1">
              <w:rPr>
                <w:rFonts w:ascii="Arial" w:hAnsi="Arial" w:cs="Arial"/>
                <w:b/>
                <w:sz w:val="20"/>
                <w:szCs w:val="20"/>
              </w:rPr>
              <w:t>orms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A26A1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A84CB3" w:rsidRPr="007A26A1">
              <w:rPr>
                <w:rFonts w:ascii="Arial" w:hAnsi="Arial" w:cs="Arial"/>
                <w:b/>
                <w:sz w:val="20"/>
                <w:szCs w:val="20"/>
              </w:rPr>
              <w:t>ybrids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Aster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Lactuca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Liatris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Prenanthes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Solidago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Betulaceae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Caprifoliaceae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Lonicera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Cornaceae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Cornus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Cyperaceae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Carex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Cyperaceae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Cyperus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Baptisia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Lespedeza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Fagaceae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Juglandaceae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Carya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Juncaceae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Juncus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Myricaceae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Myrica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Myrsinaceae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Lysimachia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Nymphaeaceae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Nuphar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Cyprepedium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Habenaria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Osmundaceae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Osmunda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Plantaginaceae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Linaria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Polypodiaceae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Asplenium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Potamogetonaceae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Potamogeton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Crategus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Geum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Pyrus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lastRenderedPageBreak/>
              <w:t>Salicaceae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Salicaceae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Salix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Sapindaceae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Acer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Violaceae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Viola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Fernald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Aster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Lactuca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Liatris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Prenanthes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Solidago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Betulaceae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Caprifoliaceae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Lonicera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Cornaceae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Cornus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Cyperaceae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Carex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Cyperaceae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Cyperus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Baptisia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Lespedeza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Fagaceae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Juglandaceae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Carya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Juncaceae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Juncus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Myricaceae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Myrica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Myrsinaceae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Lysimachia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Nymphaeaceae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Nuphar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Cyprepedium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Habenaria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Osmundaceae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Osmunda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Plantaginaceae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Linaria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Polypodiaceae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Asplenium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Potamogetonaceae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Potamogeton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Crategus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Geum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Pyrus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Salicaceae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Salicaceae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Salix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Sapindaceae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Acer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Violaceae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Viola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7A26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G&amp;C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Aster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Lactuca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Liatris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Prenanthes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Asteraceae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Solidago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Betulaceae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Betula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Caprifoliaceae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Lonicera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Cornaceae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Cornus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Cyperaceae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Carex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Cyperaceae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Cyperus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Baptisia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Lespedeza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Fagaceae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Quercus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Juglandaceae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Carya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lastRenderedPageBreak/>
              <w:t>Juncaceae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Juncus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Myricaceae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Myrica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Myrsinaceae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Lysimachia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Nymphaeaceae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Nuphar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Cyprepedium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Habenaria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Osmundaceae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Osmunda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Plantaginaceae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Linaria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Polypodiaceae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Asplenium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Potamogetonaceae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Potamogeton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Crategus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Geum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Pyrus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Salicaceae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A26A1">
              <w:rPr>
                <w:rFonts w:ascii="Arial" w:hAnsi="Arial" w:cs="Arial"/>
                <w:i/>
                <w:sz w:val="20"/>
                <w:szCs w:val="20"/>
              </w:rPr>
              <w:t>Populus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Salicaceae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Salix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Sapindaceae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Acer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A26A1" w:rsidRPr="00A84CB3" w:rsidTr="007A26A1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4CB3">
              <w:rPr>
                <w:rFonts w:ascii="Arial" w:hAnsi="Arial" w:cs="Arial"/>
                <w:sz w:val="20"/>
                <w:szCs w:val="20"/>
              </w:rPr>
              <w:t>Violaceae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7A26A1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7A26A1">
              <w:rPr>
                <w:rFonts w:ascii="Arial" w:hAnsi="Arial" w:cs="Arial"/>
                <w:i/>
                <w:sz w:val="20"/>
                <w:szCs w:val="20"/>
              </w:rPr>
              <w:t>Viola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Haines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CB3" w:rsidRPr="00A84CB3" w:rsidRDefault="00A84CB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4CB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A84CB3" w:rsidRDefault="00A84CB3" w:rsidP="00A84CB3"/>
    <w:sectPr w:rsidR="00A84C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A1" w:rsidRDefault="007A26A1" w:rsidP="007A26A1">
      <w:r>
        <w:separator/>
      </w:r>
    </w:p>
  </w:endnote>
  <w:endnote w:type="continuationSeparator" w:id="0">
    <w:p w:rsidR="007A26A1" w:rsidRDefault="007A26A1" w:rsidP="007A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378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6A1" w:rsidRDefault="007A2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26A1" w:rsidRDefault="007A2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A1" w:rsidRDefault="007A26A1" w:rsidP="007A26A1">
      <w:r>
        <w:separator/>
      </w:r>
    </w:p>
  </w:footnote>
  <w:footnote w:type="continuationSeparator" w:id="0">
    <w:p w:rsidR="007A26A1" w:rsidRDefault="007A26A1" w:rsidP="007A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B3"/>
    <w:rsid w:val="007A26A1"/>
    <w:rsid w:val="00A84CB3"/>
    <w:rsid w:val="00C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6A1"/>
  </w:style>
  <w:style w:type="paragraph" w:styleId="Footer">
    <w:name w:val="footer"/>
    <w:basedOn w:val="Normal"/>
    <w:link w:val="FooterChar"/>
    <w:uiPriority w:val="99"/>
    <w:unhideWhenUsed/>
    <w:rsid w:val="007A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6A1"/>
  </w:style>
  <w:style w:type="paragraph" w:styleId="Footer">
    <w:name w:val="footer"/>
    <w:basedOn w:val="Normal"/>
    <w:link w:val="FooterChar"/>
    <w:uiPriority w:val="99"/>
    <w:unhideWhenUsed/>
    <w:rsid w:val="007A2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Ellison</dc:creator>
  <cp:lastModifiedBy>Aaron Ellison</cp:lastModifiedBy>
  <cp:revision>1</cp:revision>
  <dcterms:created xsi:type="dcterms:W3CDTF">2014-03-20T13:08:00Z</dcterms:created>
  <dcterms:modified xsi:type="dcterms:W3CDTF">2014-03-20T15:53:00Z</dcterms:modified>
</cp:coreProperties>
</file>